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28" w:rsidRDefault="009F0228" w:rsidP="009F0228">
      <w:pPr>
        <w:jc w:val="center"/>
      </w:pPr>
      <w:r>
        <w:t>ZARYS TEMATYKI KONFERENCJI</w:t>
      </w:r>
    </w:p>
    <w:p w:rsidR="00450958" w:rsidRDefault="009F0228" w:rsidP="009F0228">
      <w:r>
        <w:rPr>
          <w:lang w:val="de-CH"/>
        </w:rPr>
        <w:t xml:space="preserve">Jedną z podstawowych </w:t>
      </w:r>
      <w:r>
        <w:t>reguł</w:t>
      </w:r>
      <w:r>
        <w:rPr>
          <w:lang w:val="de-CH"/>
        </w:rPr>
        <w:t xml:space="preserve"> etyki </w:t>
      </w:r>
      <w:r>
        <w:rPr>
          <w:spacing w:val="-1"/>
        </w:rPr>
        <w:t xml:space="preserve">badań </w:t>
      </w:r>
      <w:r>
        <w:rPr>
          <w:lang w:val="de-CH"/>
        </w:rPr>
        <w:t xml:space="preserve">naukowych jest zasada poszanowania prawa ich </w:t>
      </w:r>
      <w:r>
        <w:t>uczestnik</w:t>
      </w:r>
      <w:r>
        <w:rPr>
          <w:lang w:val="de-CH"/>
        </w:rPr>
        <w:t xml:space="preserve">ów do prywatności, </w:t>
      </w:r>
      <w:r>
        <w:t>czy też</w:t>
      </w:r>
      <w:r>
        <w:rPr>
          <w:lang w:val="de-CH"/>
        </w:rPr>
        <w:t xml:space="preserve"> do kontroli </w:t>
      </w:r>
      <w:r>
        <w:t>osobistych</w:t>
      </w:r>
      <w:r>
        <w:rPr>
          <w:lang w:val="de-CH"/>
        </w:rPr>
        <w:t xml:space="preserve"> danych. Zgodnie z tradycyjnym normatywnym modelem, do niedawna jeszcze (a </w:t>
      </w:r>
      <w:r>
        <w:t>może</w:t>
      </w:r>
      <w:r>
        <w:rPr>
          <w:lang w:val="de-CH"/>
        </w:rPr>
        <w:t xml:space="preserve"> i nadal?) obowiązującym </w:t>
      </w:r>
      <w:r>
        <w:t>także</w:t>
      </w:r>
      <w:r>
        <w:rPr>
          <w:lang w:val="de-CH"/>
        </w:rPr>
        <w:t xml:space="preserve"> w polskim prawie, aby uczynić zadość tej zasadzie przy przetwarzaniu danych osobowych do celów </w:t>
      </w:r>
      <w:r>
        <w:t>badawcz</w:t>
      </w:r>
      <w:r>
        <w:rPr>
          <w:lang w:val="de-CH"/>
        </w:rPr>
        <w:t xml:space="preserve">ych, </w:t>
      </w:r>
      <w:r>
        <w:t>należ</w:t>
      </w:r>
      <w:r>
        <w:rPr>
          <w:lang w:val="de-CH"/>
        </w:rPr>
        <w:t xml:space="preserve">ało </w:t>
      </w:r>
      <w:r>
        <w:t>spełni</w:t>
      </w:r>
      <w:r>
        <w:rPr>
          <w:lang w:val="de-CH"/>
        </w:rPr>
        <w:t xml:space="preserve">ć jeden z dwóch warunków: albo uzyskać </w:t>
      </w:r>
      <w:r>
        <w:t>świadom</w:t>
      </w:r>
      <w:r>
        <w:rPr>
          <w:lang w:val="de-CH"/>
        </w:rPr>
        <w:t xml:space="preserve">ą i </w:t>
      </w:r>
      <w:r>
        <w:rPr>
          <w:szCs w:val="24"/>
          <w:lang w:val="en"/>
        </w:rPr>
        <w:t>dobrowoln</w:t>
      </w:r>
      <w:r>
        <w:rPr>
          <w:lang w:val="de-CH"/>
        </w:rPr>
        <w:t xml:space="preserve">ą zgodę osoby, której te dane dotyczą, albo też zadbać o ich anonimowość (tzn. niemożliwość ustalenia z ich pomocą tożsamości tej osoby). Ten dychotomiczny wymóg – albo </w:t>
      </w:r>
      <w:r>
        <w:t>świadom</w:t>
      </w:r>
      <w:r>
        <w:rPr>
          <w:lang w:val="de-CH"/>
        </w:rPr>
        <w:t xml:space="preserve">a zgoda, albo </w:t>
      </w:r>
      <w:r>
        <w:t>całkowit</w:t>
      </w:r>
      <w:r>
        <w:rPr>
          <w:lang w:val="de-CH"/>
        </w:rPr>
        <w:t xml:space="preserve">a </w:t>
      </w:r>
      <w:r>
        <w:rPr>
          <w:szCs w:val="24"/>
          <w:lang w:val="de-CH"/>
        </w:rPr>
        <w:t>anonimizacj</w:t>
      </w:r>
      <w:r>
        <w:rPr>
          <w:lang w:val="de-CH"/>
        </w:rPr>
        <w:t xml:space="preserve">a – krępował jednak swobodę i obniżał wartość wielu ważnych rodzajów </w:t>
      </w:r>
      <w:r>
        <w:rPr>
          <w:spacing w:val="-1"/>
        </w:rPr>
        <w:t>badań</w:t>
      </w:r>
      <w:r>
        <w:rPr>
          <w:lang w:val="de-CH"/>
        </w:rPr>
        <w:t xml:space="preserve">, </w:t>
      </w:r>
      <w:r>
        <w:t>zarówno</w:t>
      </w:r>
      <w:r>
        <w:rPr>
          <w:lang w:val="de-CH"/>
        </w:rPr>
        <w:t xml:space="preserve"> w naukach </w:t>
      </w:r>
      <w:r>
        <w:t>biomedycznych, jak i społecznych lub behawioralnych</w:t>
      </w:r>
      <w:r>
        <w:rPr>
          <w:lang w:val="de-CH"/>
        </w:rPr>
        <w:t xml:space="preserve">, tak iż był z </w:t>
      </w:r>
      <w:r>
        <w:t>różn</w:t>
      </w:r>
      <w:r>
        <w:rPr>
          <w:lang w:val="de-CH"/>
        </w:rPr>
        <w:t xml:space="preserve">ych stron krytykowany. </w:t>
      </w:r>
      <w:r>
        <w:rPr>
          <w:szCs w:val="24"/>
        </w:rPr>
        <w:t xml:space="preserve">Unijne rozporządzenie </w:t>
      </w:r>
      <w:r>
        <w:t>2016/679 (RODO) w pewnej mierze przychyla się do tej krytyki, ponieważ orzeka, że wykorzystywanie osobowych – a więc z definicji (art. 4) nieanonimowych – danych do celów badawczych może opierać się nie tylko na (trudnej często do uzyskania) pełnowartościowej zgodzie osoby, której te dane dotyczą, lecz także na innej podstawie (art. 9.2). Zgodnie z nowszą wykładnią, przedstawioną w Opinii nr 3/2019 Europejskiej Rady Ochrony Danych</w:t>
      </w:r>
      <w:r>
        <w:rPr>
          <w:rStyle w:val="Odwoanieprzypisudolnego"/>
        </w:rPr>
        <w:footnoteReference w:id="1"/>
      </w:r>
      <w:r>
        <w:t xml:space="preserve">, ta alternatywna podstawa, uprawniająca do </w:t>
      </w:r>
      <w:r>
        <w:rPr>
          <w:spacing w:val="-1"/>
        </w:rPr>
        <w:t xml:space="preserve">badań </w:t>
      </w:r>
      <w:r>
        <w:t xml:space="preserve">naukowych wykorzystujących dane osoby, która nie udzieliła zgody na ich przetwarzanie, może być jeszcze dwojaka: będzie nią </w:t>
      </w:r>
      <w:r>
        <w:rPr>
          <w:lang w:val="de-CH"/>
        </w:rPr>
        <w:t>bądź</w:t>
      </w:r>
      <w:r>
        <w:t xml:space="preserve"> to „interes publiczny”, </w:t>
      </w:r>
      <w:r>
        <w:rPr>
          <w:lang w:val="de-CH"/>
        </w:rPr>
        <w:t>bądź</w:t>
      </w:r>
      <w:r>
        <w:t xml:space="preserve"> to „uprawniony interes administratora”, ma się rozumieć w jednym i drugim wypadku obwarowany szeregiem środków zabezpieczających. Niestety, ani „interes publiczny”, ani „uprawniony interes administratora” nie jest w rozporządzeniu 2016/679 wyraźnie zdefiniowany. Niedookreślone są również owe zabezpieczenia (</w:t>
      </w:r>
      <w:r>
        <w:rPr>
          <w:i/>
        </w:rPr>
        <w:t>safeguards</w:t>
      </w:r>
      <w:r>
        <w:t xml:space="preserve">) – ujmowane nieraz (por. art. 89) jako sposoby „minimalizacji” przetwarzanych danych – które musi wdrożyć badacz wykorzystujący dane jakiejś osoby bez jej aktualnej lub uprzedniej zgody. Unijne rozporządzenie pozostawia w tym względzie państwom członkowskim - nie tylko upoważnianym, ale wręcz zachęcanym do wprowadzania własnych uściśleń lub odstępstw – dużą swobodę interpretacyjną i aplikacyjną. Skoro jednak przepisy RODO, dotyczące ochrony danych w badaniach naukowych mogą być rozumiane i stosowane w rozmaity sposób, to sami badacze - reprezentujący różne gałęzie nauki - powinni przede wszystkim naradzić się nad tym, jaki sposób ich rozumienia i stosowania będzie najbardziej właściwy, tj. najlepiej służący celom wartościowych </w:t>
      </w:r>
      <w:r>
        <w:rPr>
          <w:spacing w:val="-1"/>
        </w:rPr>
        <w:t xml:space="preserve">badań </w:t>
      </w:r>
      <w:r>
        <w:lastRenderedPageBreak/>
        <w:t>naukowych (choć równocześnie nienaruszający praw ich uczestników). Planowana konferencja ma dawać sposobność do takiej szerokiej, interdyscyplinarnej narady.</w:t>
      </w:r>
    </w:p>
    <w:p w:rsidR="00450958" w:rsidRDefault="00450958" w:rsidP="00450958">
      <w:pPr>
        <w:jc w:val="right"/>
        <w:rPr>
          <w:noProof w:val="0"/>
          <w:szCs w:val="24"/>
        </w:rPr>
      </w:pPr>
      <w:r>
        <w:t>Włodzimierz Galewicz</w:t>
      </w:r>
    </w:p>
    <w:p w:rsidR="009F0228" w:rsidRDefault="009F0228" w:rsidP="009F0228">
      <w:pPr>
        <w:rPr>
          <w:noProof w:val="0"/>
          <w:szCs w:val="24"/>
        </w:rPr>
      </w:pPr>
      <w:bookmarkStart w:id="0" w:name="_GoBack"/>
      <w:bookmarkEnd w:id="0"/>
      <w:r>
        <w:rPr>
          <w:noProof w:val="0"/>
          <w:szCs w:val="24"/>
        </w:rPr>
        <w:t xml:space="preserve"> </w:t>
      </w:r>
    </w:p>
    <w:p w:rsidR="00E25D9C" w:rsidRDefault="00E25D9C" w:rsidP="009F0228"/>
    <w:sectPr w:rsidR="00E25D9C"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28" w:rsidRDefault="009F0228" w:rsidP="009F0228">
      <w:pPr>
        <w:spacing w:line="240" w:lineRule="auto"/>
      </w:pPr>
      <w:r>
        <w:separator/>
      </w:r>
    </w:p>
  </w:endnote>
  <w:endnote w:type="continuationSeparator" w:id="0">
    <w:p w:rsidR="009F0228" w:rsidRDefault="009F0228" w:rsidP="009F0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28" w:rsidRDefault="009F0228" w:rsidP="009F0228">
      <w:pPr>
        <w:spacing w:line="240" w:lineRule="auto"/>
      </w:pPr>
      <w:r>
        <w:separator/>
      </w:r>
    </w:p>
  </w:footnote>
  <w:footnote w:type="continuationSeparator" w:id="0">
    <w:p w:rsidR="009F0228" w:rsidRDefault="009F0228" w:rsidP="009F0228">
      <w:pPr>
        <w:spacing w:line="240" w:lineRule="auto"/>
      </w:pPr>
      <w:r>
        <w:continuationSeparator/>
      </w:r>
    </w:p>
  </w:footnote>
  <w:footnote w:id="1">
    <w:p w:rsidR="009F0228" w:rsidRDefault="009F0228" w:rsidP="009F0228">
      <w:pPr>
        <w:pStyle w:val="Tekstprzypisudolnego"/>
      </w:pPr>
      <w:r>
        <w:rPr>
          <w:rStyle w:val="Odwoanieprzypisudolnego"/>
        </w:rPr>
        <w:footnoteRef/>
      </w:r>
      <w:r>
        <w:t xml:space="preserve"> Europejska Rada Ochrony Danych, Opinia nr 3/2019 w sprawie pytań i odpowiedzi dotyczących wzajemnych zależności między rozporządzeniem w sprawie badań klinicznych (RBK) a ogólnym rozporządzeniem o ochronie danych (RODO) (art. 70 ust. 1 lit. b)), przyjęta w dniu 23 stycznia 2019 r.”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28"/>
    <w:rsid w:val="00002C32"/>
    <w:rsid w:val="000135E8"/>
    <w:rsid w:val="00020E34"/>
    <w:rsid w:val="00024B3C"/>
    <w:rsid w:val="000278E6"/>
    <w:rsid w:val="00032D9D"/>
    <w:rsid w:val="000556E8"/>
    <w:rsid w:val="00062823"/>
    <w:rsid w:val="00064AB6"/>
    <w:rsid w:val="00067329"/>
    <w:rsid w:val="000731A5"/>
    <w:rsid w:val="00076C5C"/>
    <w:rsid w:val="00082B79"/>
    <w:rsid w:val="000A03DA"/>
    <w:rsid w:val="000A2804"/>
    <w:rsid w:val="000B3799"/>
    <w:rsid w:val="000C624A"/>
    <w:rsid w:val="000D6C0E"/>
    <w:rsid w:val="000F25C1"/>
    <w:rsid w:val="001134D1"/>
    <w:rsid w:val="001177A5"/>
    <w:rsid w:val="001267F3"/>
    <w:rsid w:val="00131436"/>
    <w:rsid w:val="00132C53"/>
    <w:rsid w:val="00133CB9"/>
    <w:rsid w:val="0013738F"/>
    <w:rsid w:val="00142FFC"/>
    <w:rsid w:val="001530A1"/>
    <w:rsid w:val="001802E2"/>
    <w:rsid w:val="00181349"/>
    <w:rsid w:val="00181E9D"/>
    <w:rsid w:val="00183F3B"/>
    <w:rsid w:val="00184AAB"/>
    <w:rsid w:val="00190ACF"/>
    <w:rsid w:val="001A26D2"/>
    <w:rsid w:val="001A7EED"/>
    <w:rsid w:val="001B17F7"/>
    <w:rsid w:val="001B4B81"/>
    <w:rsid w:val="001B5CC7"/>
    <w:rsid w:val="001D5232"/>
    <w:rsid w:val="001E1C8B"/>
    <w:rsid w:val="001E57C4"/>
    <w:rsid w:val="0021048E"/>
    <w:rsid w:val="00210F3E"/>
    <w:rsid w:val="002115C5"/>
    <w:rsid w:val="0021170B"/>
    <w:rsid w:val="00227EBB"/>
    <w:rsid w:val="00241229"/>
    <w:rsid w:val="0025203A"/>
    <w:rsid w:val="002609C6"/>
    <w:rsid w:val="00284790"/>
    <w:rsid w:val="002855CC"/>
    <w:rsid w:val="00292327"/>
    <w:rsid w:val="002A3899"/>
    <w:rsid w:val="002A5AFD"/>
    <w:rsid w:val="002C43F7"/>
    <w:rsid w:val="002E6AAC"/>
    <w:rsid w:val="003025E0"/>
    <w:rsid w:val="00304127"/>
    <w:rsid w:val="003048E3"/>
    <w:rsid w:val="00310002"/>
    <w:rsid w:val="00311E72"/>
    <w:rsid w:val="003209EE"/>
    <w:rsid w:val="00320F14"/>
    <w:rsid w:val="003237C7"/>
    <w:rsid w:val="003441B7"/>
    <w:rsid w:val="00352A70"/>
    <w:rsid w:val="00387307"/>
    <w:rsid w:val="003B7320"/>
    <w:rsid w:val="003C0C5B"/>
    <w:rsid w:val="003D122D"/>
    <w:rsid w:val="003E3F33"/>
    <w:rsid w:val="003E66AC"/>
    <w:rsid w:val="003F587C"/>
    <w:rsid w:val="003F5CC7"/>
    <w:rsid w:val="003F5F06"/>
    <w:rsid w:val="00402719"/>
    <w:rsid w:val="00405FA3"/>
    <w:rsid w:val="00436EAE"/>
    <w:rsid w:val="00450958"/>
    <w:rsid w:val="00451C13"/>
    <w:rsid w:val="0046179E"/>
    <w:rsid w:val="00465D1F"/>
    <w:rsid w:val="00474F4E"/>
    <w:rsid w:val="0048671D"/>
    <w:rsid w:val="004A1DF2"/>
    <w:rsid w:val="004A627E"/>
    <w:rsid w:val="004C4F10"/>
    <w:rsid w:val="004C5BA1"/>
    <w:rsid w:val="004F7D46"/>
    <w:rsid w:val="00501748"/>
    <w:rsid w:val="005022ED"/>
    <w:rsid w:val="00514C0E"/>
    <w:rsid w:val="005171F0"/>
    <w:rsid w:val="00522DD2"/>
    <w:rsid w:val="005378A0"/>
    <w:rsid w:val="00537B5D"/>
    <w:rsid w:val="00540984"/>
    <w:rsid w:val="00550DD0"/>
    <w:rsid w:val="005742C8"/>
    <w:rsid w:val="00586D82"/>
    <w:rsid w:val="005958E4"/>
    <w:rsid w:val="00596BDE"/>
    <w:rsid w:val="005A2C89"/>
    <w:rsid w:val="005A7BC3"/>
    <w:rsid w:val="005B293B"/>
    <w:rsid w:val="005D6655"/>
    <w:rsid w:val="005E2851"/>
    <w:rsid w:val="005F0666"/>
    <w:rsid w:val="005F46A8"/>
    <w:rsid w:val="005F566F"/>
    <w:rsid w:val="00611123"/>
    <w:rsid w:val="00611582"/>
    <w:rsid w:val="00613956"/>
    <w:rsid w:val="00615703"/>
    <w:rsid w:val="00616FE6"/>
    <w:rsid w:val="0062652F"/>
    <w:rsid w:val="006313F1"/>
    <w:rsid w:val="006373A5"/>
    <w:rsid w:val="00644256"/>
    <w:rsid w:val="0065144C"/>
    <w:rsid w:val="00660DBA"/>
    <w:rsid w:val="00664BCB"/>
    <w:rsid w:val="00665972"/>
    <w:rsid w:val="006661D5"/>
    <w:rsid w:val="00683017"/>
    <w:rsid w:val="00687DCA"/>
    <w:rsid w:val="00692BDD"/>
    <w:rsid w:val="006956E4"/>
    <w:rsid w:val="006A4AE5"/>
    <w:rsid w:val="006B1ED0"/>
    <w:rsid w:val="006B2A8B"/>
    <w:rsid w:val="006B31F6"/>
    <w:rsid w:val="006D7752"/>
    <w:rsid w:val="006E3494"/>
    <w:rsid w:val="006E5A2F"/>
    <w:rsid w:val="006E71C5"/>
    <w:rsid w:val="006F24DC"/>
    <w:rsid w:val="006F2CC1"/>
    <w:rsid w:val="006F6902"/>
    <w:rsid w:val="00704056"/>
    <w:rsid w:val="00711D1F"/>
    <w:rsid w:val="007120EB"/>
    <w:rsid w:val="0072275A"/>
    <w:rsid w:val="0072639F"/>
    <w:rsid w:val="00730954"/>
    <w:rsid w:val="007474A0"/>
    <w:rsid w:val="00753451"/>
    <w:rsid w:val="00757530"/>
    <w:rsid w:val="007600C0"/>
    <w:rsid w:val="00762F90"/>
    <w:rsid w:val="00790D06"/>
    <w:rsid w:val="007963A6"/>
    <w:rsid w:val="007A0999"/>
    <w:rsid w:val="007C3EA2"/>
    <w:rsid w:val="007D14DE"/>
    <w:rsid w:val="007D5D53"/>
    <w:rsid w:val="007E3E6B"/>
    <w:rsid w:val="007F6DB2"/>
    <w:rsid w:val="00803520"/>
    <w:rsid w:val="00823F67"/>
    <w:rsid w:val="00832418"/>
    <w:rsid w:val="00840CE9"/>
    <w:rsid w:val="00857D35"/>
    <w:rsid w:val="008625A7"/>
    <w:rsid w:val="008705EB"/>
    <w:rsid w:val="00875322"/>
    <w:rsid w:val="00881003"/>
    <w:rsid w:val="008911D3"/>
    <w:rsid w:val="008A36D7"/>
    <w:rsid w:val="008C643D"/>
    <w:rsid w:val="008E627F"/>
    <w:rsid w:val="008E6C18"/>
    <w:rsid w:val="008F25A8"/>
    <w:rsid w:val="009133D1"/>
    <w:rsid w:val="0092338E"/>
    <w:rsid w:val="00947ED0"/>
    <w:rsid w:val="009633E7"/>
    <w:rsid w:val="00965324"/>
    <w:rsid w:val="0096778F"/>
    <w:rsid w:val="00971953"/>
    <w:rsid w:val="00971A5F"/>
    <w:rsid w:val="00977644"/>
    <w:rsid w:val="00983F75"/>
    <w:rsid w:val="009A43D1"/>
    <w:rsid w:val="009B1DAB"/>
    <w:rsid w:val="009C281B"/>
    <w:rsid w:val="009C3288"/>
    <w:rsid w:val="009F0228"/>
    <w:rsid w:val="009F32D9"/>
    <w:rsid w:val="00A236E4"/>
    <w:rsid w:val="00A247E0"/>
    <w:rsid w:val="00A311B3"/>
    <w:rsid w:val="00A50BFC"/>
    <w:rsid w:val="00A61CA1"/>
    <w:rsid w:val="00A7331D"/>
    <w:rsid w:val="00A75272"/>
    <w:rsid w:val="00A9356D"/>
    <w:rsid w:val="00A9436A"/>
    <w:rsid w:val="00AA18D6"/>
    <w:rsid w:val="00AD6160"/>
    <w:rsid w:val="00AE28A5"/>
    <w:rsid w:val="00AE2AE2"/>
    <w:rsid w:val="00AE708F"/>
    <w:rsid w:val="00AF3FCF"/>
    <w:rsid w:val="00AF7394"/>
    <w:rsid w:val="00B15C8B"/>
    <w:rsid w:val="00B24D61"/>
    <w:rsid w:val="00B277B2"/>
    <w:rsid w:val="00B40198"/>
    <w:rsid w:val="00B53B45"/>
    <w:rsid w:val="00B633D4"/>
    <w:rsid w:val="00B73F85"/>
    <w:rsid w:val="00B7672D"/>
    <w:rsid w:val="00B858FE"/>
    <w:rsid w:val="00B94FEB"/>
    <w:rsid w:val="00BA75F9"/>
    <w:rsid w:val="00BB2194"/>
    <w:rsid w:val="00BC47E9"/>
    <w:rsid w:val="00BD0FA1"/>
    <w:rsid w:val="00BD19CA"/>
    <w:rsid w:val="00BD45E4"/>
    <w:rsid w:val="00BD4B1C"/>
    <w:rsid w:val="00BD6671"/>
    <w:rsid w:val="00BE2AF3"/>
    <w:rsid w:val="00BE2D12"/>
    <w:rsid w:val="00C06577"/>
    <w:rsid w:val="00C22A4D"/>
    <w:rsid w:val="00C22AB6"/>
    <w:rsid w:val="00C402F1"/>
    <w:rsid w:val="00C50EFD"/>
    <w:rsid w:val="00C656C7"/>
    <w:rsid w:val="00C84013"/>
    <w:rsid w:val="00C96DBA"/>
    <w:rsid w:val="00C96F95"/>
    <w:rsid w:val="00CB0C63"/>
    <w:rsid w:val="00CC5EF6"/>
    <w:rsid w:val="00CC69CD"/>
    <w:rsid w:val="00CF612D"/>
    <w:rsid w:val="00D040BA"/>
    <w:rsid w:val="00D32C4C"/>
    <w:rsid w:val="00D340CE"/>
    <w:rsid w:val="00D34E08"/>
    <w:rsid w:val="00D356F3"/>
    <w:rsid w:val="00D421BB"/>
    <w:rsid w:val="00D47D94"/>
    <w:rsid w:val="00D50BF1"/>
    <w:rsid w:val="00D74E78"/>
    <w:rsid w:val="00D86282"/>
    <w:rsid w:val="00D92162"/>
    <w:rsid w:val="00DA5AF9"/>
    <w:rsid w:val="00DA5BAD"/>
    <w:rsid w:val="00DC41EF"/>
    <w:rsid w:val="00DC50B0"/>
    <w:rsid w:val="00DC5C04"/>
    <w:rsid w:val="00DD4932"/>
    <w:rsid w:val="00DD65DE"/>
    <w:rsid w:val="00DD6F33"/>
    <w:rsid w:val="00DF619F"/>
    <w:rsid w:val="00E135FA"/>
    <w:rsid w:val="00E171F6"/>
    <w:rsid w:val="00E2116D"/>
    <w:rsid w:val="00E2491F"/>
    <w:rsid w:val="00E25549"/>
    <w:rsid w:val="00E25D9C"/>
    <w:rsid w:val="00E311B5"/>
    <w:rsid w:val="00E31AD1"/>
    <w:rsid w:val="00E34FB1"/>
    <w:rsid w:val="00E4196A"/>
    <w:rsid w:val="00E42EB0"/>
    <w:rsid w:val="00E50CDE"/>
    <w:rsid w:val="00E518CB"/>
    <w:rsid w:val="00E70F17"/>
    <w:rsid w:val="00E8540B"/>
    <w:rsid w:val="00ED0E58"/>
    <w:rsid w:val="00EF714F"/>
    <w:rsid w:val="00F01B05"/>
    <w:rsid w:val="00F21488"/>
    <w:rsid w:val="00F26EFB"/>
    <w:rsid w:val="00F31712"/>
    <w:rsid w:val="00F32276"/>
    <w:rsid w:val="00F40CD3"/>
    <w:rsid w:val="00F773A7"/>
    <w:rsid w:val="00F82C14"/>
    <w:rsid w:val="00F85922"/>
    <w:rsid w:val="00F90ACB"/>
    <w:rsid w:val="00F90DB4"/>
    <w:rsid w:val="00F916B5"/>
    <w:rsid w:val="00FA094D"/>
    <w:rsid w:val="00FC6A7A"/>
    <w:rsid w:val="00FD31CF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2A861"/>
  <w15:chartTrackingRefBased/>
  <w15:docId w15:val="{E40991B6-7D8E-47D0-BE24-B53B160A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228"/>
    <w:pPr>
      <w:spacing w:line="360" w:lineRule="auto"/>
      <w:ind w:firstLine="567"/>
    </w:pPr>
    <w:rPr>
      <w:noProof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28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28"/>
    <w:rPr>
      <w:noProof/>
    </w:rPr>
  </w:style>
  <w:style w:type="character" w:styleId="Odwoanieprzypisudolnego">
    <w:name w:val="footnote reference"/>
    <w:uiPriority w:val="99"/>
    <w:semiHidden/>
    <w:unhideWhenUsed/>
    <w:rsid w:val="009F0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Dokumenty\0%200\PL-STAN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PL-STAND</Template>
  <TotalTime>3</TotalTime>
  <Pages>2</Pages>
  <Words>369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UNIVERSITÄT FREIBURG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zep</cp:lastModifiedBy>
  <cp:revision>3</cp:revision>
  <dcterms:created xsi:type="dcterms:W3CDTF">2019-09-03T20:12:00Z</dcterms:created>
  <dcterms:modified xsi:type="dcterms:W3CDTF">2019-09-05T09:41:00Z</dcterms:modified>
</cp:coreProperties>
</file>